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992-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Литвина Виктора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10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Виктор Иванович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д.3 помещ.1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Виктор Иванович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Литвина В.И.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 Виктор Иванович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«УНИВЕРСАЛСТРОЙСЕРВИС».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>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наказания в виде предупреждения, так как, расчет по страховым взносам за 12 месяцев 2023 года не предоставлен </w:t>
      </w:r>
      <w:r>
        <w:rPr>
          <w:rFonts w:ascii="Times New Roman" w:eastAsia="Times New Roman" w:hAnsi="Times New Roman" w:cs="Times New Roman"/>
        </w:rPr>
        <w:t>и на момент составления протокола.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УНИВЕРСАЛСТРОЙСЕРВИС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Литвина Виктора Ивановича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ст.31.5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>КБК 72011601153010005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0412365400725009922415170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218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C14E-FF26-4D53-90D5-D7D28B541A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